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</w:t>
      </w:r>
      <w:r w:rsidR="00C963E3">
        <w:t xml:space="preserve">ooperative Ultra Narrow Band </w:t>
      </w:r>
      <w:r w:rsidR="00901F27">
        <w:t>for Cellular IoT</w:t>
      </w:r>
    </w:p>
    <w:p w:rsidR="00F2562E" w:rsidRDefault="00AC55B5">
      <w:pPr>
        <w:pStyle w:val="TitreDocumet"/>
      </w:pPr>
      <w:r>
        <w:t>-</w:t>
      </w:r>
    </w:p>
    <w:p w:rsidR="00E905C5" w:rsidRDefault="00C963E3">
      <w:pPr>
        <w:pStyle w:val="TitreDocumet"/>
      </w:pPr>
      <w:r>
        <w:t>General description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C963E3" w:rsidRDefault="00F2562E" w:rsidP="00F2562E">
      <w:r w:rsidRPr="006E5977">
        <w:t>At GERAN#62, a new feasibility study on Cellular Internet of Things (CIoT)</w:t>
      </w:r>
      <w:bookmarkStart w:id="0" w:name="_GoBack"/>
      <w:bookmarkEnd w:id="0"/>
      <w:r w:rsidR="00A17C28">
        <w:t xml:space="preserve"> was approved [1]. T</w:t>
      </w:r>
      <w:r>
        <w:t xml:space="preserve">he </w:t>
      </w:r>
      <w:r w:rsidR="00C963E3">
        <w:t>key requirements of the CIoT feasibility study are:</w:t>
      </w:r>
    </w:p>
    <w:p w:rsidR="00CE7F2A" w:rsidRDefault="00CE7F2A" w:rsidP="00C963E3">
      <w:pPr>
        <w:pStyle w:val="Listeretrait"/>
      </w:pPr>
      <w:r>
        <w:t>improved coverage compared to legacy GSM/GPRS</w:t>
      </w:r>
    </w:p>
    <w:p w:rsidR="00CE7F2A" w:rsidRDefault="00CE7F2A" w:rsidP="00C963E3">
      <w:pPr>
        <w:pStyle w:val="Listeretrait"/>
      </w:pPr>
      <w:r>
        <w:t>low power consumption for battery operated devices</w:t>
      </w:r>
    </w:p>
    <w:p w:rsidR="00CE7F2A" w:rsidRDefault="00CE7F2A" w:rsidP="00C963E3">
      <w:pPr>
        <w:pStyle w:val="Listeretrait"/>
      </w:pPr>
      <w:r>
        <w:t>low complexity for the modem in MSs</w:t>
      </w:r>
    </w:p>
    <w:p w:rsidR="00C963E3" w:rsidRDefault="00CE7F2A" w:rsidP="00C963E3">
      <w:pPr>
        <w:pStyle w:val="Listeretrait"/>
      </w:pPr>
      <w:r>
        <w:t>high density of MSs.</w:t>
      </w:r>
    </w:p>
    <w:p w:rsidR="00AB14D2" w:rsidRDefault="00F2562E" w:rsidP="00F2562E">
      <w:r>
        <w:t>Coopera</w:t>
      </w:r>
      <w:r w:rsidR="00AB14D2">
        <w:t>tive Ultra Narrow Band (C-UNB)</w:t>
      </w:r>
      <w:r w:rsidR="00A17C28">
        <w:t xml:space="preserve"> is a clean slate solution, </w:t>
      </w:r>
      <w:r w:rsidR="00CE7F2A">
        <w:t xml:space="preserve">which reuses the legacy 200kHz block with ultra narrow band communication. This document describes the overall principles of the C-UNB solution. </w:t>
      </w:r>
      <w:r w:rsidR="00A17C28">
        <w:t xml:space="preserve">It is </w:t>
      </w:r>
      <w:r w:rsidR="004F3B3C">
        <w:t xml:space="preserve">a </w:t>
      </w:r>
      <w:r w:rsidR="00A17C28">
        <w:t xml:space="preserve">revised extract of document </w:t>
      </w:r>
      <w:r w:rsidR="00643820">
        <w:t>[</w:t>
      </w:r>
      <w:r w:rsidR="00CE7F2A">
        <w:t>2</w:t>
      </w:r>
      <w:r w:rsidR="00643820">
        <w:t>].</w:t>
      </w:r>
    </w:p>
    <w:p w:rsidR="00C963E3" w:rsidRDefault="00CE7F2A" w:rsidP="00F2562E">
      <w:r>
        <w:t>Radio frames and link layer are defined in [3], [4] and [5].</w:t>
      </w:r>
    </w:p>
    <w:p w:rsidR="00C963E3" w:rsidRPr="003D7769" w:rsidRDefault="00C963E3" w:rsidP="00CE7F2A">
      <w:pPr>
        <w:pStyle w:val="Titre1"/>
      </w:pPr>
      <w:r w:rsidRPr="003D7769">
        <w:t>General</w:t>
      </w:r>
    </w:p>
    <w:p w:rsidR="00C963E3" w:rsidRDefault="00C963E3" w:rsidP="00C963E3">
      <w:r>
        <w:t xml:space="preserve">Cellular IoT devices are a new category of MSs, which require extended coverage and improved battery lifetime compared to what is available in 2G networks. </w:t>
      </w:r>
      <w:r w:rsidRPr="006C5829">
        <w:t>C</w:t>
      </w:r>
      <w:r>
        <w:t xml:space="preserve">ooperative </w:t>
      </w:r>
      <w:r w:rsidRPr="006C5829">
        <w:t>U</w:t>
      </w:r>
      <w:r>
        <w:t xml:space="preserve">ltra </w:t>
      </w:r>
      <w:r w:rsidRPr="006C5829">
        <w:t>N</w:t>
      </w:r>
      <w:r>
        <w:t xml:space="preserve">arrow </w:t>
      </w:r>
      <w:r w:rsidRPr="006C5829">
        <w:t>B</w:t>
      </w:r>
      <w:r>
        <w:t>and (C-UNB)</w:t>
      </w:r>
      <w:r w:rsidRPr="006C5829">
        <w:t xml:space="preserve"> </w:t>
      </w:r>
      <w:r>
        <w:t>is a clean slate approach that answers these requests.</w:t>
      </w:r>
    </w:p>
    <w:p w:rsidR="00C963E3" w:rsidRDefault="00C963E3" w:rsidP="00C963E3"/>
    <w:p w:rsidR="00C963E3" w:rsidRDefault="00C963E3" w:rsidP="00C963E3">
      <w:r>
        <w:t xml:space="preserve">In C-UNB, the extended coverage is achieved by means of ultra narrow band communications, which are possible because of the low volume of data transmitted by </w:t>
      </w:r>
      <w:r w:rsidRPr="006C5829">
        <w:t>IoT devices</w:t>
      </w:r>
      <w:r>
        <w:t>. In base stations, signal processing increases the receiver sensitivity and hence increases the MCL, without using large transmission power in MSs.</w:t>
      </w:r>
    </w:p>
    <w:p w:rsidR="00C963E3" w:rsidRDefault="00C963E3" w:rsidP="00C963E3"/>
    <w:p w:rsidR="00C963E3" w:rsidRDefault="00C963E3" w:rsidP="00C963E3">
      <w:r>
        <w:t>In order to improve the battery lifetime, C-UNB radio access technology (RAT) doesn't require IoT devices to be synchronized</w:t>
      </w:r>
      <w:r w:rsidRPr="006C5829">
        <w:t xml:space="preserve"> or </w:t>
      </w:r>
      <w:r>
        <w:t>attached to b</w:t>
      </w:r>
      <w:r w:rsidRPr="006C5829">
        <w:t>ase station</w:t>
      </w:r>
      <w:r>
        <w:t xml:space="preserve">s before being allowed to send radio packets. On the contrary, the network access is based on random transmissions by devices. </w:t>
      </w:r>
      <w:r w:rsidRPr="006C5829">
        <w:t xml:space="preserve">This </w:t>
      </w:r>
      <w:r>
        <w:t xml:space="preserve">kind of </w:t>
      </w:r>
      <w:r w:rsidRPr="006C5829">
        <w:t>me</w:t>
      </w:r>
      <w:r>
        <w:t>dium access is equivalent to</w:t>
      </w:r>
      <w:r w:rsidRPr="006C5829">
        <w:t xml:space="preserve"> ALOHA, </w:t>
      </w:r>
      <w:r>
        <w:t>which is known for its simplicity. Its drawback is pa</w:t>
      </w:r>
      <w:r w:rsidRPr="006C5829">
        <w:t xml:space="preserve">cket collisions </w:t>
      </w:r>
      <w:r>
        <w:t>that hamper the overall efficiency when the</w:t>
      </w:r>
      <w:r w:rsidRPr="006C5829">
        <w:t xml:space="preserve"> network load </w:t>
      </w:r>
      <w:r>
        <w:t>becomes</w:t>
      </w:r>
      <w:r w:rsidRPr="006C5829">
        <w:t xml:space="preserve"> high.</w:t>
      </w:r>
      <w:r w:rsidRPr="00A24B3B">
        <w:t xml:space="preserve"> </w:t>
      </w:r>
      <w:r>
        <w:t>To overcome this issue, t</w:t>
      </w:r>
      <w:r w:rsidRPr="006C5829">
        <w:t xml:space="preserve">he </w:t>
      </w:r>
      <w:r>
        <w:t>C-UNB RAT</w:t>
      </w:r>
      <w:r w:rsidRPr="006C5829">
        <w:t xml:space="preserve"> </w:t>
      </w:r>
      <w:r>
        <w:t>implements two mitigation techniques that are frequency diversity and space diversity.</w:t>
      </w:r>
    </w:p>
    <w:p w:rsidR="00C963E3" w:rsidRDefault="00C963E3" w:rsidP="00C963E3"/>
    <w:p w:rsidR="00C963E3" w:rsidRDefault="00C963E3" w:rsidP="00C963E3">
      <w:r>
        <w:t>U</w:t>
      </w:r>
      <w:r w:rsidRPr="006C5829">
        <w:t xml:space="preserve">ltra narrow band </w:t>
      </w:r>
      <w:r>
        <w:t>transmission occupies a very small portion of spectrum in a 200kHz block, leaving space for other transmissions</w:t>
      </w:r>
      <w:r w:rsidRPr="006C5829">
        <w:t xml:space="preserve">. </w:t>
      </w:r>
      <w:r>
        <w:t>This feature is the well-known channelization implemented systems based on FDMA. In the case of C-UNB, channel bandw</w:t>
      </w:r>
      <w:r w:rsidR="00E16264">
        <w:t>idth is a few hundreds of Hertz</w:t>
      </w:r>
      <w:r>
        <w:t>; their center frequency is difficult to set precisely without tight synchronization to the network. That is why, there is no channelization of the 200kHz block: t</w:t>
      </w:r>
      <w:r w:rsidRPr="006C5829">
        <w:t>he center fre</w:t>
      </w:r>
      <w:r>
        <w:t xml:space="preserve">quency of each transmission </w:t>
      </w:r>
      <w:r w:rsidRPr="006C5829">
        <w:t xml:space="preserve">is selected randomly </w:t>
      </w:r>
      <w:r>
        <w:t xml:space="preserve">by a transmitting MS </w:t>
      </w:r>
      <w:r w:rsidRPr="006C5829">
        <w:t>in a 200kHz</w:t>
      </w:r>
      <w:r>
        <w:t xml:space="preserve"> block.</w:t>
      </w:r>
      <w:r w:rsidRPr="00A24B3B">
        <w:t xml:space="preserve"> </w:t>
      </w:r>
      <w:r>
        <w:t>The random selection of carrier frequency is a kind of "frequency diversity" that helps reducing the radio packet collisions. When needed, multiple transmissions improve the quality of service. Figure 1 illustrates the time and frequency diversity of uplink transmissions, in case of 3 repetitions per radio packet.</w:t>
      </w:r>
    </w:p>
    <w:p w:rsidR="00C963E3" w:rsidRDefault="00C963E3" w:rsidP="00C963E3"/>
    <w:p w:rsidR="00C963E3" w:rsidRDefault="00C963E3" w:rsidP="00C963E3">
      <w:pPr>
        <w:jc w:val="center"/>
      </w:pPr>
      <w:r>
        <w:rPr>
          <w:noProof/>
          <w:lang w:val="fr-FR"/>
        </w:rPr>
        <w:drawing>
          <wp:inline distT="0" distB="0" distL="0" distR="0">
            <wp:extent cx="5183603" cy="1647231"/>
            <wp:effectExtent l="50800" t="25400" r="23397" b="3769"/>
            <wp:docPr id="1" name="Image 0" descr="Capture d’écran 2015-06-12 à 10.17.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0.17.1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0149" cy="164931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963E3" w:rsidRDefault="00CE7F2A" w:rsidP="00C963E3">
      <w:pPr>
        <w:jc w:val="center"/>
      </w:pPr>
      <w:r>
        <w:t xml:space="preserve">Figure </w:t>
      </w:r>
      <w:r w:rsidR="00562A95">
        <w:t>1</w:t>
      </w:r>
      <w:r w:rsidR="00C963E3">
        <w:t>: Frequency diversity in C-UNB</w:t>
      </w:r>
    </w:p>
    <w:p w:rsidR="00C963E3" w:rsidRDefault="00C963E3" w:rsidP="00C963E3"/>
    <w:p w:rsidR="00C963E3" w:rsidRDefault="00C963E3" w:rsidP="00C963E3"/>
    <w:p w:rsidR="00C963E3" w:rsidRDefault="00C963E3" w:rsidP="00C963E3">
      <w:r w:rsidRPr="006C5829">
        <w:t xml:space="preserve">The </w:t>
      </w:r>
      <w:r>
        <w:t>second feature, used to cope with collision on the air interface</w:t>
      </w:r>
      <w:r w:rsidRPr="006C5829">
        <w:t>, is the "space diversity" given by the multiple receptions of radio packets in</w:t>
      </w:r>
      <w:r>
        <w:t xml:space="preserve"> UL. A</w:t>
      </w:r>
      <w:r w:rsidRPr="006C5829">
        <w:t xml:space="preserve">ll </w:t>
      </w:r>
      <w:r>
        <w:t xml:space="preserve">C-UNB </w:t>
      </w:r>
      <w:r w:rsidRPr="006C5829">
        <w:t>base stations listen for the same 200kHz block c</w:t>
      </w:r>
      <w:r>
        <w:t>ontinuously. As there are overlaps in base station coverage, the radio access network may receive m</w:t>
      </w:r>
      <w:r w:rsidRPr="006C5829">
        <w:t xml:space="preserve">ultiple copies of the same radio packet. If an UL radio packet experiences collision or interference during reception </w:t>
      </w:r>
      <w:r>
        <w:t>in</w:t>
      </w:r>
      <w:r w:rsidRPr="006C5829">
        <w:t xml:space="preserve"> a given base station, the probability to have bad reception in all surrounding base stations is limited.</w:t>
      </w:r>
      <w:r>
        <w:t xml:space="preserve"> De-duplication of received packets is performed in a dedicated C-UNB server, located in the core network. Figure 2 illustrates space diversity and packet reconstruction in core network.</w:t>
      </w:r>
    </w:p>
    <w:p w:rsidR="00C963E3" w:rsidRDefault="00C963E3" w:rsidP="00C963E3"/>
    <w:p w:rsidR="00C963E3" w:rsidRDefault="00C963E3" w:rsidP="00C963E3">
      <w:pPr>
        <w:jc w:val="center"/>
      </w:pPr>
      <w:r>
        <w:rPr>
          <w:noProof/>
          <w:lang w:val="fr-FR"/>
        </w:rPr>
        <w:drawing>
          <wp:inline distT="0" distB="0" distL="0" distR="0">
            <wp:extent cx="5028129" cy="2478593"/>
            <wp:effectExtent l="50800" t="25400" r="26471" b="10607"/>
            <wp:docPr id="4" name="Image 1" descr="Capture d’écran 2015-06-12 à 10.28.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0.28.27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765" cy="24793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963E3" w:rsidRDefault="00CE7F2A" w:rsidP="00C963E3">
      <w:pPr>
        <w:jc w:val="center"/>
      </w:pPr>
      <w:r>
        <w:t>Figure 2</w:t>
      </w:r>
      <w:r w:rsidR="00C963E3">
        <w:t>: Radio packet collision management by cooperative reception</w:t>
      </w:r>
    </w:p>
    <w:p w:rsidR="00C963E3" w:rsidRDefault="00C963E3" w:rsidP="00C963E3"/>
    <w:p w:rsidR="00C963E3" w:rsidRDefault="00C963E3" w:rsidP="00C963E3"/>
    <w:p w:rsidR="00C963E3" w:rsidRPr="006C5829" w:rsidRDefault="00C963E3" w:rsidP="00C963E3">
      <w:r>
        <w:t xml:space="preserve">Pseudo-random center frequencies, selected in the full 200kHz block with no channelization, and multiple receptions by overlapping base stations help achieving the requirement of low complexity </w:t>
      </w:r>
      <w:r w:rsidR="00CE7F2A">
        <w:t>as stated</w:t>
      </w:r>
      <w:r>
        <w:t xml:space="preserve"> in [</w:t>
      </w:r>
      <w:r w:rsidR="00CE7F2A">
        <w:t>1</w:t>
      </w:r>
      <w:r>
        <w:t>].</w:t>
      </w:r>
    </w:p>
    <w:p w:rsidR="00C963E3" w:rsidRDefault="00C963E3" w:rsidP="00C963E3"/>
    <w:p w:rsidR="00C963E3" w:rsidRDefault="00C963E3" w:rsidP="00CE7F2A">
      <w:pPr>
        <w:pStyle w:val="Titre1"/>
      </w:pPr>
      <w:r>
        <w:t>System architecture</w:t>
      </w:r>
    </w:p>
    <w:p w:rsidR="00C963E3" w:rsidRDefault="00C963E3" w:rsidP="00C963E3">
      <w:r>
        <w:t>The C-UNB system architecture differs from the legacy Gb architecture but can connect it (see figure 3). It consists in C-UNB base stations and C-UNB server.</w:t>
      </w:r>
    </w:p>
    <w:p w:rsidR="00C963E3" w:rsidRDefault="00C963E3" w:rsidP="00C963E3"/>
    <w:p w:rsidR="00C963E3" w:rsidRDefault="00C963E3" w:rsidP="00C963E3">
      <w:r>
        <w:t>A C-UN</w:t>
      </w:r>
      <w:r w:rsidR="00EF1217">
        <w:t>B base station is a standard SDR</w:t>
      </w:r>
      <w:r>
        <w:t xml:space="preserve"> Tx/Rx that runs a specific software package, which has three main features:</w:t>
      </w:r>
    </w:p>
    <w:p w:rsidR="00C963E3" w:rsidRDefault="00C963E3" w:rsidP="00C963E3">
      <w:pPr>
        <w:pStyle w:val="Listeretrait"/>
      </w:pPr>
      <w:r>
        <w:t>it implements the C-UNB air interface</w:t>
      </w:r>
    </w:p>
    <w:p w:rsidR="00C963E3" w:rsidRDefault="00C963E3" w:rsidP="00C963E3">
      <w:pPr>
        <w:pStyle w:val="Listeretrait"/>
      </w:pPr>
      <w:r>
        <w:t>it routes toward the C-UNB server all MS messages (control plane and data plane) coming from or going to the legacy core network,</w:t>
      </w:r>
    </w:p>
    <w:p w:rsidR="00C963E3" w:rsidRDefault="00C963E3" w:rsidP="00C963E3">
      <w:pPr>
        <w:pStyle w:val="Listeretrait"/>
      </w:pPr>
      <w:r>
        <w:t>it establishes and maintain a tunnel (based on a PDP-context) between the BTS and the C-UNB server for carrying C-UNB streams.</w:t>
      </w:r>
    </w:p>
    <w:p w:rsidR="00C963E3" w:rsidRDefault="00C963E3" w:rsidP="00C963E3"/>
    <w:p w:rsidR="00C963E3" w:rsidRDefault="00C963E3" w:rsidP="00C963E3">
      <w:r>
        <w:t>The C-UNB server is unique in a given C-UNB network. It has three main features:</w:t>
      </w:r>
    </w:p>
    <w:p w:rsidR="00C963E3" w:rsidRDefault="00C963E3" w:rsidP="00C963E3">
      <w:pPr>
        <w:pStyle w:val="Listeretrait"/>
      </w:pPr>
      <w:r>
        <w:t>radio packet deduplication, reassembly at link layer level and security check, in UL,</w:t>
      </w:r>
    </w:p>
    <w:p w:rsidR="00C963E3" w:rsidRDefault="00C963E3" w:rsidP="00C963E3">
      <w:pPr>
        <w:pStyle w:val="Listeretrait"/>
      </w:pPr>
      <w:r>
        <w:t>message storage until MS waking up in DL, and all related features (segmentation, authentication, base station selection)</w:t>
      </w:r>
    </w:p>
    <w:p w:rsidR="00C963E3" w:rsidRDefault="00C963E3" w:rsidP="00C963E3">
      <w:pPr>
        <w:pStyle w:val="Listeretrait"/>
      </w:pPr>
      <w:r>
        <w:t>termination of the Gb protocol stack for MS connected with C-UNB.</w:t>
      </w:r>
    </w:p>
    <w:p w:rsidR="00C963E3" w:rsidRDefault="00C963E3" w:rsidP="00C963E3"/>
    <w:p w:rsidR="00C963E3" w:rsidRDefault="00C963E3" w:rsidP="00C963E3">
      <w:pPr>
        <w:jc w:val="center"/>
      </w:pPr>
      <w:r>
        <w:rPr>
          <w:noProof/>
          <w:lang w:val="fr-FR"/>
        </w:rPr>
        <w:drawing>
          <wp:inline distT="0" distB="0" distL="0" distR="0">
            <wp:extent cx="4756880" cy="2559133"/>
            <wp:effectExtent l="50800" t="25400" r="18320" b="6267"/>
            <wp:docPr id="5" name="Image 3" descr="Capture d’écran 2015-06-12 à 12.01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2.01.18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3050" cy="25624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963E3" w:rsidRPr="006C5829" w:rsidRDefault="00C963E3" w:rsidP="00C963E3">
      <w:pPr>
        <w:jc w:val="center"/>
      </w:pPr>
      <w:r>
        <w:t>Figure 3: C-UNB solution in Gb architecture</w:t>
      </w:r>
    </w:p>
    <w:p w:rsidR="00C963E3" w:rsidRDefault="00C963E3" w:rsidP="00C963E3"/>
    <w:p w:rsidR="00C963E3" w:rsidRDefault="00C963E3" w:rsidP="00C963E3"/>
    <w:p w:rsidR="00C963E3" w:rsidRDefault="00C963E3" w:rsidP="00C963E3">
      <w:r>
        <w:t>Figure 4 illustrates how the C-UNB software in base stations and the C-UNb server cooperate together in order to make to l</w:t>
      </w:r>
      <w:r w:rsidR="00EF1217">
        <w:t>iaison between Gb messages (user</w:t>
      </w:r>
      <w:r>
        <w:t xml:space="preserve"> and control plane) and the C-UNB messages.</w:t>
      </w:r>
    </w:p>
    <w:p w:rsidR="00C963E3" w:rsidRDefault="00C963E3" w:rsidP="00C963E3"/>
    <w:p w:rsidR="00C963E3" w:rsidRDefault="00C963E3" w:rsidP="00C963E3">
      <w:pPr>
        <w:jc w:val="center"/>
      </w:pPr>
      <w:r>
        <w:rPr>
          <w:noProof/>
          <w:lang w:val="fr-FR"/>
        </w:rPr>
        <w:drawing>
          <wp:inline distT="0" distB="0" distL="0" distR="0">
            <wp:extent cx="5202138" cy="1937111"/>
            <wp:effectExtent l="50800" t="25400" r="30262" b="18689"/>
            <wp:docPr id="6" name="Image 4" descr="Capture d’écran 2015-06-15 à 17.58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5 à 17.58.05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4315" cy="19379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963E3" w:rsidRDefault="00C963E3" w:rsidP="00C963E3">
      <w:pPr>
        <w:jc w:val="center"/>
      </w:pPr>
      <w:r>
        <w:t>Figure 4: C-UNB and Gb message tracks</w:t>
      </w:r>
    </w:p>
    <w:p w:rsidR="00C963E3" w:rsidRDefault="00C963E3" w:rsidP="00C963E3"/>
    <w:p w:rsidR="00C963E3" w:rsidRDefault="00C963E3" w:rsidP="00C963E3"/>
    <w:p w:rsidR="00E16264" w:rsidRDefault="00E16264" w:rsidP="00E16264">
      <w:pPr>
        <w:pStyle w:val="Titre1"/>
      </w:pPr>
      <w:r>
        <w:t>Conclusion</w:t>
      </w:r>
    </w:p>
    <w:p w:rsidR="00562A95" w:rsidRDefault="00E16264" w:rsidP="00E16264">
      <w:r>
        <w:t xml:space="preserve">This contribution presents the general principles of the C-UNB clean slate solution and explains how the lack of time and frequency synchronization, along with cooperative reception, </w:t>
      </w:r>
      <w:r w:rsidR="00562A95">
        <w:t>help</w:t>
      </w:r>
      <w:r w:rsidR="003E2429">
        <w:t>s</w:t>
      </w:r>
      <w:r w:rsidR="00562A95">
        <w:t xml:space="preserve"> achieving the </w:t>
      </w:r>
      <w:r>
        <w:t>requirements of low complexity and lo</w:t>
      </w:r>
      <w:r w:rsidR="00562A95">
        <w:t>w power consumption.</w:t>
      </w:r>
    </w:p>
    <w:p w:rsidR="00F2562E" w:rsidRPr="00E16264" w:rsidRDefault="00F2562E" w:rsidP="00E1626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891091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  <w:r w:rsidR="007C230C">
        <w:rPr>
          <w:lang w:eastAsia="zh-CN"/>
        </w:rPr>
        <w:t>.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E20203" w:rsidRDefault="00116528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="00EF1217">
        <w:rPr>
          <w:lang w:eastAsia="zh-CN"/>
        </w:rPr>
        <w:tab/>
        <w:t>GPC150052, "Cooperative Ultra Narrow Band for Cellular IoT", SIGFOX, GERAN ad'hoc meeting #1, 02-05 Februray 2015, Sophia Antipolis, France</w:t>
      </w:r>
    </w:p>
    <w:p w:rsidR="00E20203" w:rsidRDefault="00E20203">
      <w:pPr>
        <w:ind w:left="709" w:hanging="709"/>
        <w:rPr>
          <w:lang w:eastAsia="zh-CN"/>
        </w:rPr>
      </w:pPr>
    </w:p>
    <w:p w:rsidR="00A7622E" w:rsidRDefault="007C230C">
      <w:pPr>
        <w:ind w:left="709" w:hanging="709"/>
      </w:pPr>
      <w:r>
        <w:t>[3]</w:t>
      </w:r>
      <w:r w:rsidR="00891091" w:rsidRPr="00891091">
        <w:rPr>
          <w:lang w:eastAsia="zh-CN"/>
        </w:rPr>
        <w:t xml:space="preserve"> </w:t>
      </w:r>
      <w:r w:rsidR="00891091" w:rsidRPr="00116528">
        <w:rPr>
          <w:lang w:eastAsia="zh-CN"/>
        </w:rPr>
        <w:tab/>
      </w:r>
      <w:r w:rsidR="00EF1217">
        <w:rPr>
          <w:lang w:eastAsia="zh-CN"/>
        </w:rPr>
        <w:t>GPC150309</w:t>
      </w:r>
      <w:r w:rsidR="00891091">
        <w:rPr>
          <w:lang w:eastAsia="zh-CN"/>
        </w:rPr>
        <w:t>, "C-UNB tech</w:t>
      </w:r>
      <w:r w:rsidR="00EF1217">
        <w:rPr>
          <w:lang w:eastAsia="zh-CN"/>
        </w:rPr>
        <w:t>nology for Cellular IoT - Downl</w:t>
      </w:r>
      <w:r w:rsidR="00891091">
        <w:rPr>
          <w:lang w:eastAsia="zh-CN"/>
        </w:rPr>
        <w:t>ink Physical Layer Design",</w:t>
      </w:r>
      <w:r w:rsidR="00EF1217">
        <w:rPr>
          <w:lang w:eastAsia="zh-CN"/>
        </w:rPr>
        <w:t xml:space="preserve"> SIGFOX, GERAN Ad'hoc meeting #3, 29 June - 02 July 2015, Kista, Sweden</w:t>
      </w:r>
    </w:p>
    <w:p w:rsidR="00A7622E" w:rsidRDefault="00A7622E">
      <w:pPr>
        <w:ind w:left="709" w:hanging="709"/>
      </w:pPr>
    </w:p>
    <w:p w:rsidR="00891091" w:rsidRDefault="00A7622E">
      <w:pPr>
        <w:ind w:left="709" w:hanging="709"/>
      </w:pPr>
      <w:r>
        <w:t>[4]</w:t>
      </w:r>
      <w:r w:rsidR="00891091" w:rsidRPr="00891091">
        <w:t xml:space="preserve"> </w:t>
      </w:r>
      <w:r w:rsidR="00891091">
        <w:tab/>
      </w:r>
      <w:r w:rsidR="00EF1217">
        <w:rPr>
          <w:lang w:eastAsia="zh-CN"/>
        </w:rPr>
        <w:t>GPC150310</w:t>
      </w:r>
      <w:r w:rsidR="00891091">
        <w:rPr>
          <w:lang w:eastAsia="zh-CN"/>
        </w:rPr>
        <w:t>, "C-UNB te</w:t>
      </w:r>
      <w:r w:rsidR="00EF1217">
        <w:rPr>
          <w:lang w:eastAsia="zh-CN"/>
        </w:rPr>
        <w:t>chnology for Cellular IoT - Upl</w:t>
      </w:r>
      <w:r w:rsidR="00891091">
        <w:rPr>
          <w:lang w:eastAsia="zh-CN"/>
        </w:rPr>
        <w:t>ink Physical Layer Design",</w:t>
      </w:r>
      <w:r w:rsidR="00EF1217">
        <w:rPr>
          <w:lang w:eastAsia="zh-CN"/>
        </w:rPr>
        <w:t xml:space="preserve"> SIGFOX, GERAN Ad'hoc meeting #3</w:t>
      </w:r>
      <w:r w:rsidR="00891091">
        <w:rPr>
          <w:lang w:eastAsia="zh-CN"/>
        </w:rPr>
        <w:t xml:space="preserve">, </w:t>
      </w:r>
      <w:r w:rsidR="00EF1217">
        <w:rPr>
          <w:lang w:eastAsia="zh-CN"/>
        </w:rPr>
        <w:t>29 June - 02 July 2015, Kista, Sweden</w:t>
      </w:r>
    </w:p>
    <w:p w:rsidR="00891091" w:rsidRDefault="00891091">
      <w:pPr>
        <w:ind w:left="709" w:hanging="709"/>
      </w:pPr>
    </w:p>
    <w:p w:rsidR="000C7937" w:rsidRDefault="00891091">
      <w:pPr>
        <w:ind w:left="709" w:hanging="709"/>
        <w:rPr>
          <w:lang w:eastAsia="zh-CN"/>
        </w:rPr>
      </w:pPr>
      <w:r>
        <w:t>[5]</w:t>
      </w:r>
      <w:r w:rsidRPr="00891091">
        <w:t xml:space="preserve"> </w:t>
      </w:r>
      <w:r>
        <w:tab/>
      </w:r>
      <w:r w:rsidR="00EF1217">
        <w:rPr>
          <w:lang w:eastAsia="zh-CN"/>
        </w:rPr>
        <w:t>GPC150311</w:t>
      </w:r>
      <w:r w:rsidR="0006113F">
        <w:rPr>
          <w:lang w:eastAsia="zh-CN"/>
        </w:rPr>
        <w:t>, "C-UNB technology for Cellular IoT - Link Layer Aspects",</w:t>
      </w:r>
      <w:r w:rsidR="00EF1217">
        <w:rPr>
          <w:lang w:eastAsia="zh-CN"/>
        </w:rPr>
        <w:t xml:space="preserve"> SIGFOX, GERAN Ad'hoc meeting #3</w:t>
      </w:r>
      <w:r w:rsidR="0006113F">
        <w:rPr>
          <w:lang w:eastAsia="zh-CN"/>
        </w:rPr>
        <w:t xml:space="preserve">, </w:t>
      </w:r>
      <w:r w:rsidR="00EF1217">
        <w:rPr>
          <w:lang w:eastAsia="zh-CN"/>
        </w:rPr>
        <w:t>29 June - 02 July 2015, Kista, Sweden</w:t>
      </w:r>
    </w:p>
    <w:sectPr w:rsidR="000C7937" w:rsidSect="00FA0F6B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532" w:right="1268" w:bottom="1276" w:left="1418" w:header="851" w:footer="694" w:gutter="0"/>
      <w:cols w:space="708"/>
      <w:titlePg/>
      <w:printerSettings r:id="rId1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64" w:rsidRDefault="00E16264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5F300F" w:rsidRPr="005F300F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F300F" w:rsidRPr="005F300F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64" w:rsidRDefault="00E16264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  <w:t xml:space="preserve">page : </w:t>
    </w:r>
    <w:fldSimple w:instr=" PAGE  \* MERGEFORMAT ">
      <w:r w:rsidR="005F300F" w:rsidRPr="005F300F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F300F" w:rsidRPr="005F300F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64" w:rsidRPr="008259A1" w:rsidRDefault="00E16264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 w:rsidR="00CC76D6">
      <w:rPr>
        <w:rFonts w:hint="eastAsia"/>
      </w:rPr>
      <w:t>GPC150364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64" w:rsidRDefault="00E16264">
    <w:pPr>
      <w:pStyle w:val="En-tte"/>
      <w:spacing w:before="120" w:after="120"/>
      <w:rPr>
        <w:lang w:eastAsia="zh-CN"/>
      </w:rPr>
    </w:pPr>
    <w:r w:rsidRPr="00F249A2">
      <w:t xml:space="preserve">3GPP </w:t>
    </w:r>
    <w:r>
      <w:rPr>
        <w:rFonts w:hint="eastAsia"/>
      </w:rPr>
      <w:t>GERAN</w:t>
    </w:r>
    <w:r>
      <w:t xml:space="preserve"> ad'hoc meeting</w:t>
    </w:r>
    <w:r w:rsidR="005F300F">
      <w:t>#3</w:t>
    </w:r>
    <w:r>
      <w:rPr>
        <w:rFonts w:hint="eastAsia"/>
      </w:rPr>
      <w:tab/>
    </w:r>
    <w:r>
      <w:tab/>
    </w:r>
    <w:r w:rsidR="00CC76D6">
      <w:rPr>
        <w:rFonts w:hint="eastAsia"/>
      </w:rPr>
      <w:t>GPC150364</w:t>
    </w:r>
  </w:p>
  <w:p w:rsidR="00E16264" w:rsidRPr="00AB14D2" w:rsidRDefault="00E16264" w:rsidP="00AB14D2">
    <w:pPr>
      <w:pStyle w:val="En-tte"/>
      <w:spacing w:before="120" w:after="120"/>
    </w:pPr>
    <w:r>
      <w:t>Kista</w:t>
    </w:r>
    <w:r w:rsidRPr="00AB14D2">
      <w:rPr>
        <w:rFonts w:hint="eastAsia"/>
      </w:rPr>
      <w:t xml:space="preserve">, </w:t>
    </w:r>
    <w:r>
      <w:t>Sweden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1.4.2.6 &amp; 2.4.1.6</w:t>
    </w:r>
  </w:p>
  <w:p w:rsidR="00E16264" w:rsidRDefault="00E16264">
    <w:pPr>
      <w:pStyle w:val="En-tte"/>
      <w:spacing w:before="120" w:after="120"/>
    </w:pPr>
    <w:r>
      <w:rPr>
        <w:rFonts w:hint="eastAsia"/>
      </w:rPr>
      <w:t>29 June - 0</w:t>
    </w:r>
    <w:r>
      <w:t>2</w:t>
    </w:r>
    <w:r>
      <w:rPr>
        <w:rFonts w:hint="eastAsia"/>
      </w:rPr>
      <w:t xml:space="preserve"> July 2015</w:t>
    </w:r>
  </w:p>
  <w:p w:rsidR="00E16264" w:rsidRDefault="00E16264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r>
      <w:t>SIGFOX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displayBackgroundShape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3DB1"/>
    <w:rsid w:val="00046429"/>
    <w:rsid w:val="00055D79"/>
    <w:rsid w:val="00056534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407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267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0E49"/>
    <w:rsid w:val="001D2293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2BD"/>
    <w:rsid w:val="002A67F2"/>
    <w:rsid w:val="002B3651"/>
    <w:rsid w:val="002C1DC5"/>
    <w:rsid w:val="002C43D9"/>
    <w:rsid w:val="002C478F"/>
    <w:rsid w:val="002C5102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5345"/>
    <w:rsid w:val="00355E81"/>
    <w:rsid w:val="00356134"/>
    <w:rsid w:val="00356C52"/>
    <w:rsid w:val="003609D9"/>
    <w:rsid w:val="00362A56"/>
    <w:rsid w:val="003635ED"/>
    <w:rsid w:val="003635FF"/>
    <w:rsid w:val="00366166"/>
    <w:rsid w:val="003708A5"/>
    <w:rsid w:val="00371579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2429"/>
    <w:rsid w:val="003E324A"/>
    <w:rsid w:val="003E4899"/>
    <w:rsid w:val="003F359B"/>
    <w:rsid w:val="003F3D37"/>
    <w:rsid w:val="00407218"/>
    <w:rsid w:val="0041054C"/>
    <w:rsid w:val="00411AD1"/>
    <w:rsid w:val="00414D91"/>
    <w:rsid w:val="0041668E"/>
    <w:rsid w:val="004215CE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D3B"/>
    <w:rsid w:val="004B1F4E"/>
    <w:rsid w:val="004C3A04"/>
    <w:rsid w:val="004C53A1"/>
    <w:rsid w:val="004D37CA"/>
    <w:rsid w:val="004D4287"/>
    <w:rsid w:val="004E161B"/>
    <w:rsid w:val="004F0F5D"/>
    <w:rsid w:val="004F15D3"/>
    <w:rsid w:val="004F3B3C"/>
    <w:rsid w:val="00502331"/>
    <w:rsid w:val="00504220"/>
    <w:rsid w:val="00505F5B"/>
    <w:rsid w:val="005068C2"/>
    <w:rsid w:val="00516E75"/>
    <w:rsid w:val="005217AA"/>
    <w:rsid w:val="00522757"/>
    <w:rsid w:val="00523CC1"/>
    <w:rsid w:val="00524841"/>
    <w:rsid w:val="0053420A"/>
    <w:rsid w:val="00540F0E"/>
    <w:rsid w:val="0054591A"/>
    <w:rsid w:val="00554333"/>
    <w:rsid w:val="00556A0A"/>
    <w:rsid w:val="00557169"/>
    <w:rsid w:val="00560B95"/>
    <w:rsid w:val="00562A95"/>
    <w:rsid w:val="005672C5"/>
    <w:rsid w:val="00571AA2"/>
    <w:rsid w:val="00575A9B"/>
    <w:rsid w:val="00583C56"/>
    <w:rsid w:val="00584EC8"/>
    <w:rsid w:val="00585B8C"/>
    <w:rsid w:val="00587442"/>
    <w:rsid w:val="005913C6"/>
    <w:rsid w:val="00594A6B"/>
    <w:rsid w:val="005958B1"/>
    <w:rsid w:val="005A19B7"/>
    <w:rsid w:val="005B0038"/>
    <w:rsid w:val="005B051D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300F"/>
    <w:rsid w:val="005F5576"/>
    <w:rsid w:val="005F7867"/>
    <w:rsid w:val="006140ED"/>
    <w:rsid w:val="00621AF4"/>
    <w:rsid w:val="00624F0B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32E4"/>
    <w:rsid w:val="006A7146"/>
    <w:rsid w:val="006B0711"/>
    <w:rsid w:val="006B5190"/>
    <w:rsid w:val="006B7310"/>
    <w:rsid w:val="006C71C2"/>
    <w:rsid w:val="006C79CF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2C0"/>
    <w:rsid w:val="007E37AC"/>
    <w:rsid w:val="007E3E1E"/>
    <w:rsid w:val="007F1225"/>
    <w:rsid w:val="007F44C3"/>
    <w:rsid w:val="007F658B"/>
    <w:rsid w:val="00800036"/>
    <w:rsid w:val="0081135B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5E54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B2DA6"/>
    <w:rsid w:val="008B6515"/>
    <w:rsid w:val="008C043C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17C01"/>
    <w:rsid w:val="00920382"/>
    <w:rsid w:val="00925DCC"/>
    <w:rsid w:val="0093659D"/>
    <w:rsid w:val="00936F95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36CB"/>
    <w:rsid w:val="00965E79"/>
    <w:rsid w:val="00967834"/>
    <w:rsid w:val="009747A9"/>
    <w:rsid w:val="00975346"/>
    <w:rsid w:val="009760F3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7651"/>
    <w:rsid w:val="00A62BAE"/>
    <w:rsid w:val="00A63ED9"/>
    <w:rsid w:val="00A65249"/>
    <w:rsid w:val="00A67429"/>
    <w:rsid w:val="00A679E2"/>
    <w:rsid w:val="00A7622E"/>
    <w:rsid w:val="00A767D6"/>
    <w:rsid w:val="00A83DE7"/>
    <w:rsid w:val="00A850AF"/>
    <w:rsid w:val="00A86060"/>
    <w:rsid w:val="00A97023"/>
    <w:rsid w:val="00A97513"/>
    <w:rsid w:val="00AA0914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4412C"/>
    <w:rsid w:val="00B47EC8"/>
    <w:rsid w:val="00B50B64"/>
    <w:rsid w:val="00B53B4A"/>
    <w:rsid w:val="00B54BA2"/>
    <w:rsid w:val="00B54D92"/>
    <w:rsid w:val="00B657A8"/>
    <w:rsid w:val="00B6778F"/>
    <w:rsid w:val="00B75FDA"/>
    <w:rsid w:val="00B765E2"/>
    <w:rsid w:val="00B773BE"/>
    <w:rsid w:val="00B77933"/>
    <w:rsid w:val="00B82C53"/>
    <w:rsid w:val="00B8486D"/>
    <w:rsid w:val="00B86D48"/>
    <w:rsid w:val="00BA276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26973"/>
    <w:rsid w:val="00C36A25"/>
    <w:rsid w:val="00C37120"/>
    <w:rsid w:val="00C42AB2"/>
    <w:rsid w:val="00C43033"/>
    <w:rsid w:val="00C430AD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963E3"/>
    <w:rsid w:val="00CA4EC3"/>
    <w:rsid w:val="00CB130C"/>
    <w:rsid w:val="00CB6313"/>
    <w:rsid w:val="00CC0DDF"/>
    <w:rsid w:val="00CC13C1"/>
    <w:rsid w:val="00CC1DA7"/>
    <w:rsid w:val="00CC6510"/>
    <w:rsid w:val="00CC76D6"/>
    <w:rsid w:val="00CD2913"/>
    <w:rsid w:val="00CD41F1"/>
    <w:rsid w:val="00CE2847"/>
    <w:rsid w:val="00CE3890"/>
    <w:rsid w:val="00CE3E3C"/>
    <w:rsid w:val="00CE7F2A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2AD2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C61FE"/>
    <w:rsid w:val="00DD5DAC"/>
    <w:rsid w:val="00DE251C"/>
    <w:rsid w:val="00DE3621"/>
    <w:rsid w:val="00DE5B54"/>
    <w:rsid w:val="00DE5B94"/>
    <w:rsid w:val="00DF599B"/>
    <w:rsid w:val="00E0498D"/>
    <w:rsid w:val="00E06974"/>
    <w:rsid w:val="00E13159"/>
    <w:rsid w:val="00E148A8"/>
    <w:rsid w:val="00E16264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84BCC"/>
    <w:rsid w:val="00E905C5"/>
    <w:rsid w:val="00E90B82"/>
    <w:rsid w:val="00E90C35"/>
    <w:rsid w:val="00E979C0"/>
    <w:rsid w:val="00EA1096"/>
    <w:rsid w:val="00EA4606"/>
    <w:rsid w:val="00EA488F"/>
    <w:rsid w:val="00EA6129"/>
    <w:rsid w:val="00EA6FC1"/>
    <w:rsid w:val="00EB09E4"/>
    <w:rsid w:val="00EB0A9F"/>
    <w:rsid w:val="00EB175D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EF1217"/>
    <w:rsid w:val="00F14995"/>
    <w:rsid w:val="00F158DA"/>
    <w:rsid w:val="00F20300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9E2"/>
    <w:rsid w:val="00F84E32"/>
    <w:rsid w:val="00FA0F6B"/>
    <w:rsid w:val="00FA69A0"/>
    <w:rsid w:val="00FA6F70"/>
    <w:rsid w:val="00FA7DB9"/>
    <w:rsid w:val="00FD1A65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879</Words>
  <Characters>5012</Characters>
  <Application>Microsoft Macintosh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6155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4</cp:revision>
  <cp:lastPrinted>2015-03-02T14:48:00Z</cp:lastPrinted>
  <dcterms:created xsi:type="dcterms:W3CDTF">2015-06-23T12:13:00Z</dcterms:created>
  <dcterms:modified xsi:type="dcterms:W3CDTF">2015-06-23T19:29:00Z</dcterms:modified>
  <cp:category/>
</cp:coreProperties>
</file>